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4F077C" w:rsidRDefault="008F1759" w:rsidP="008F1759">
      <w:pPr>
        <w:pStyle w:val="Heading1"/>
        <w:rPr>
          <w:rFonts w:asciiTheme="majorBidi" w:hAnsiTheme="majorBidi" w:cstheme="majorBidi"/>
        </w:rPr>
      </w:pPr>
      <w:r w:rsidRPr="004F077C">
        <w:rPr>
          <w:rFonts w:asciiTheme="majorBidi" w:hAnsiTheme="majorBidi" w:cstheme="majorBidi"/>
        </w:rPr>
        <w:t xml:space="preserve">mecanique generale </w:t>
      </w:r>
      <w:r w:rsidRPr="004F077C">
        <w:rPr>
          <w:rFonts w:asciiTheme="majorBidi" w:hAnsiTheme="majorBidi" w:cstheme="majorBidi"/>
        </w:rPr>
        <w:br/>
        <w:t>(90 periodes)</w:t>
      </w:r>
    </w:p>
    <w:p w:rsidR="008F1759" w:rsidRPr="00716BC5" w:rsidRDefault="008F1759" w:rsidP="008F1759">
      <w:pPr>
        <w:pStyle w:val="Heading2"/>
        <w:spacing w:before="0" w:after="0"/>
        <w:rPr>
          <w:rFonts w:asciiTheme="majorBidi" w:hAnsiTheme="majorBidi" w:cstheme="majorBidi"/>
          <w:sz w:val="24"/>
          <w:szCs w:val="24"/>
        </w:rPr>
      </w:pPr>
      <w:r w:rsidRPr="00716BC5">
        <w:rPr>
          <w:rFonts w:asciiTheme="majorBidi" w:hAnsiTheme="majorBidi" w:cstheme="majorBidi"/>
          <w:szCs w:val="28"/>
        </w:rPr>
        <w:t>Contenu</w:t>
      </w:r>
      <w:r w:rsidRPr="00716BC5">
        <w:rPr>
          <w:rFonts w:asciiTheme="majorBidi" w:hAnsiTheme="majorBidi" w:cstheme="majorBidi"/>
          <w:sz w:val="24"/>
          <w:szCs w:val="24"/>
        </w:rPr>
        <w:t xml:space="preserve"> </w:t>
      </w:r>
    </w:p>
    <w:p w:rsidR="008F1759" w:rsidRPr="001D79C8" w:rsidRDefault="008F1759" w:rsidP="008F1759">
      <w:pPr>
        <w:pStyle w:val="Title"/>
        <w:rPr>
          <w:rFonts w:asciiTheme="majorBidi" w:hAnsiTheme="majorBidi" w:cstheme="majorBidi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szCs w:val="28"/>
          <w:u w:val="single"/>
          <w:lang w:val="fr-FR"/>
        </w:rPr>
        <w:t>Chapitre 1</w:t>
      </w:r>
    </w:p>
    <w:p w:rsidR="008F1759" w:rsidRPr="001D79C8" w:rsidRDefault="008F1759" w:rsidP="008F1759">
      <w:pPr>
        <w:pStyle w:val="Title"/>
        <w:spacing w:before="0" w:after="120"/>
        <w:rPr>
          <w:rFonts w:asciiTheme="majorBidi" w:hAnsiTheme="majorBidi" w:cstheme="majorBidi"/>
          <w:szCs w:val="28"/>
          <w:lang w:val="fr-FR"/>
        </w:rPr>
      </w:pPr>
      <w:r w:rsidRPr="001D79C8">
        <w:rPr>
          <w:rFonts w:asciiTheme="majorBidi" w:hAnsiTheme="majorBidi" w:cstheme="majorBidi"/>
          <w:szCs w:val="28"/>
          <w:lang w:val="fr-FR"/>
        </w:rPr>
        <w:t xml:space="preserve">Statique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1.1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4F077C">
        <w:rPr>
          <w:rFonts w:asciiTheme="majorBidi" w:hAnsiTheme="majorBidi" w:cstheme="majorBidi"/>
          <w:sz w:val="24"/>
          <w:lang w:val="fr-FR" w:eastAsia="fr-FR"/>
        </w:rPr>
        <w:t>Les vecteurs. Oper</w:t>
      </w:r>
      <w:r>
        <w:rPr>
          <w:rFonts w:asciiTheme="majorBidi" w:hAnsiTheme="majorBidi" w:cstheme="majorBidi"/>
          <w:sz w:val="24"/>
          <w:lang w:val="fr-FR" w:eastAsia="fr-FR"/>
        </w:rPr>
        <w:t>ations dur les vecteurs (somme</w:t>
      </w:r>
      <w:r w:rsidRPr="004F077C">
        <w:rPr>
          <w:rFonts w:asciiTheme="majorBidi" w:hAnsiTheme="majorBidi" w:cstheme="majorBidi"/>
          <w:sz w:val="24"/>
          <w:lang w:val="fr-FR" w:eastAsia="fr-FR"/>
        </w:rPr>
        <w:t>, produi</w:t>
      </w:r>
      <w:r>
        <w:rPr>
          <w:rFonts w:asciiTheme="majorBidi" w:hAnsiTheme="majorBidi" w:cstheme="majorBidi"/>
          <w:sz w:val="24"/>
          <w:lang w:val="fr-FR" w:eastAsia="fr-FR"/>
        </w:rPr>
        <w:t>t scalaire et produit vectoriel</w:t>
      </w:r>
      <w:r w:rsidRPr="004F077C">
        <w:rPr>
          <w:rFonts w:asciiTheme="majorBidi" w:hAnsiTheme="majorBidi" w:cstheme="majorBidi"/>
          <w:sz w:val="24"/>
          <w:lang w:val="fr-FR" w:eastAsia="fr-FR"/>
        </w:rPr>
        <w:t xml:space="preserve">)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1.2 Principe fondamental de la statique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1.3 Axiomes de la statique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1.4 Liaisons et réactions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1.5 Projection d’une force dans un plan et dans l’espace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1.6 Moment d’une force par rapport </w:t>
      </w:r>
      <w:proofErr w:type="spellStart"/>
      <w:r w:rsidRPr="004F077C">
        <w:rPr>
          <w:rFonts w:asciiTheme="majorBidi" w:hAnsiTheme="majorBidi" w:cstheme="majorBidi"/>
          <w:sz w:val="24"/>
          <w:lang w:val="fr-FR" w:eastAsia="fr-FR"/>
        </w:rPr>
        <w:t>a</w:t>
      </w:r>
      <w:proofErr w:type="spell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un </w:t>
      </w: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point .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Théorème de </w:t>
      </w:r>
      <w:proofErr w:type="spellStart"/>
      <w:r w:rsidRPr="004F077C">
        <w:rPr>
          <w:rFonts w:asciiTheme="majorBidi" w:hAnsiTheme="majorBidi" w:cstheme="majorBidi"/>
          <w:sz w:val="24"/>
          <w:lang w:val="fr-FR" w:eastAsia="fr-FR"/>
        </w:rPr>
        <w:t>Varinion</w:t>
      </w:r>
      <w:proofErr w:type="spell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1.7 Couple des forces. Operations sur les couples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1.8 Système équivalent (résultant). Résultante des forces et moment résultant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1.9 Le frottement. Types de frottement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1.10 Equilibre dans un plan 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1.11 Equilibre dans l’espace </w:t>
      </w:r>
    </w:p>
    <w:p w:rsidR="008F1759" w:rsidRPr="001D79C8" w:rsidRDefault="008F1759" w:rsidP="008F1759">
      <w:pPr>
        <w:pStyle w:val="Title"/>
        <w:rPr>
          <w:rFonts w:asciiTheme="majorBidi" w:hAnsiTheme="majorBidi" w:cstheme="majorBidi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szCs w:val="28"/>
          <w:u w:val="single"/>
          <w:lang w:val="fr-FR"/>
        </w:rPr>
        <w:t>Chapitre 2</w:t>
      </w:r>
    </w:p>
    <w:p w:rsidR="008F1759" w:rsidRPr="001D79C8" w:rsidRDefault="008F1759" w:rsidP="008F1759">
      <w:pPr>
        <w:pStyle w:val="Title"/>
        <w:spacing w:before="0" w:after="120"/>
        <w:rPr>
          <w:rFonts w:asciiTheme="majorBidi" w:hAnsiTheme="majorBidi" w:cstheme="majorBidi"/>
          <w:szCs w:val="28"/>
          <w:lang w:val="fr-FR"/>
        </w:rPr>
      </w:pPr>
      <w:r w:rsidRPr="001D79C8">
        <w:rPr>
          <w:rFonts w:asciiTheme="majorBidi" w:hAnsiTheme="majorBidi" w:cstheme="majorBidi"/>
          <w:szCs w:val="28"/>
          <w:lang w:val="fr-FR"/>
        </w:rPr>
        <w:t xml:space="preserve">Les mouvements </w:t>
      </w:r>
    </w:p>
    <w:p w:rsidR="008F1759" w:rsidRPr="004F077C" w:rsidRDefault="008F1759" w:rsidP="008F1759">
      <w:pPr>
        <w:pStyle w:val="BodyText"/>
        <w:spacing w:after="0"/>
        <w:ind w:left="426" w:hanging="426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2.1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Systèmes des coordonnées, degré de liberté. Repères : cartésien, polaire, cylindrique, sphérique, changement de repère. Référentiel.</w:t>
      </w:r>
    </w:p>
    <w:p w:rsidR="008F1759" w:rsidRPr="004F077C" w:rsidRDefault="008F1759" w:rsidP="008F1759">
      <w:pPr>
        <w:tabs>
          <w:tab w:val="left" w:pos="360"/>
        </w:tabs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2.2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Cinématique du point matériel. Mouvement à une dimension, vitesse (moyenne et instantanée), accélération (moyenne et instantanée), interprétation graphique, mouvement uniforme, uniformément varié, applications.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2.2.1 Mouvement à deux </w:t>
      </w: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dimensions;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vitesse, accélération, mouvement des projectiles.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2.2.2 Mouvement </w:t>
      </w: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circulaire;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variable angulaire, vitesse et accélération angulaires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2.2.3 Mouvement à accélération centrale : applications.</w:t>
      </w:r>
    </w:p>
    <w:p w:rsidR="008F1759" w:rsidRPr="004F077C" w:rsidRDefault="008F1759" w:rsidP="008F1759">
      <w:pPr>
        <w:tabs>
          <w:tab w:val="left" w:pos="360"/>
        </w:tabs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2.3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Mouvement relatif : mouvement d’entraînement, dérivation dans un mouvement relatif, transformation des vecteurs, vitesse et accélération, accélération complémentaire, mouvement composé.</w:t>
      </w:r>
    </w:p>
    <w:p w:rsidR="008F1759" w:rsidRPr="001D79C8" w:rsidRDefault="008F1759" w:rsidP="008F1759">
      <w:pPr>
        <w:pStyle w:val="Title"/>
        <w:rPr>
          <w:rFonts w:asciiTheme="majorBidi" w:hAnsiTheme="majorBidi" w:cstheme="majorBidi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szCs w:val="28"/>
          <w:u w:val="single"/>
          <w:lang w:val="fr-FR"/>
        </w:rPr>
        <w:t xml:space="preserve">Chapitre 3 </w:t>
      </w:r>
    </w:p>
    <w:p w:rsidR="008F1759" w:rsidRPr="001D79C8" w:rsidRDefault="008F1759" w:rsidP="008F1759">
      <w:pPr>
        <w:pStyle w:val="Title"/>
        <w:spacing w:before="0" w:after="120"/>
        <w:rPr>
          <w:rFonts w:asciiTheme="majorBidi" w:hAnsiTheme="majorBidi" w:cstheme="majorBidi"/>
          <w:szCs w:val="28"/>
          <w:lang w:val="fr-FR"/>
        </w:rPr>
      </w:pPr>
      <w:r w:rsidRPr="001D79C8">
        <w:rPr>
          <w:rFonts w:asciiTheme="majorBidi" w:hAnsiTheme="majorBidi" w:cstheme="majorBidi"/>
          <w:szCs w:val="28"/>
          <w:lang w:val="fr-FR"/>
        </w:rPr>
        <w:t xml:space="preserve">Dynamique du point.force </w:t>
      </w:r>
    </w:p>
    <w:p w:rsidR="008F1759" w:rsidRPr="004F077C" w:rsidRDefault="008F1759" w:rsidP="008F1759">
      <w:pPr>
        <w:tabs>
          <w:tab w:val="left" w:pos="360"/>
        </w:tabs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3.1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Les forces, les interactions, champs de forces, exemples.</w:t>
      </w:r>
    </w:p>
    <w:p w:rsidR="008F1759" w:rsidRPr="004F077C" w:rsidRDefault="008F1759" w:rsidP="008F1759">
      <w:pPr>
        <w:tabs>
          <w:tab w:val="left" w:pos="360"/>
        </w:tabs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3.2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Principes de dynamique :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3.2.1 Principe d’inertie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3.2.2 Principes fondamentaux de la dynamique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3.2.3 Principe d’action et de réaction.</w:t>
      </w:r>
    </w:p>
    <w:p w:rsidR="008F1759" w:rsidRPr="004F077C" w:rsidRDefault="008F1759" w:rsidP="008F1759">
      <w:pPr>
        <w:tabs>
          <w:tab w:val="left" w:pos="360"/>
        </w:tabs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3.3 Applications :</w:t>
      </w:r>
    </w:p>
    <w:p w:rsidR="008F1759" w:rsidRPr="004F077C" w:rsidRDefault="008F1759" w:rsidP="008F1759">
      <w:pPr>
        <w:ind w:left="993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lastRenderedPageBreak/>
        <w:t>3.3.1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 xml:space="preserve">Chute libre, tir dans le vide, tir dans l’air, mouvement à force centrale, mouvement hélicoïdal, équation du mouvement d’un système de masse variable, mouvement d’un point lié à une courbe </w:t>
      </w:r>
      <w:proofErr w:type="spellStart"/>
      <w:r w:rsidRPr="004F077C">
        <w:rPr>
          <w:rFonts w:asciiTheme="majorBidi" w:hAnsiTheme="majorBidi" w:cstheme="majorBidi"/>
          <w:sz w:val="24"/>
          <w:lang w:val="fr-FR" w:eastAsia="fr-FR"/>
        </w:rPr>
        <w:t>opu</w:t>
      </w:r>
      <w:proofErr w:type="spell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à une surface (point mobile sans frottement sur une sphère).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3.4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 xml:space="preserve">Equilibre d’un point </w:t>
      </w: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matériel;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conditions d’équilibre, équilibre statique, stabilité, équilibre dynamique</w:t>
      </w:r>
    </w:p>
    <w:p w:rsidR="008F1759" w:rsidRPr="004F077C" w:rsidRDefault="008F1759" w:rsidP="008F1759">
      <w:pPr>
        <w:tabs>
          <w:tab w:val="left" w:pos="360"/>
        </w:tabs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3.5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 xml:space="preserve">Etat dynamique d’un point </w:t>
      </w: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matériel;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grandeurs vectorielles :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3.5.1 Quantité du </w:t>
      </w: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mouvement;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définition, expression, unité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3.5.2 Moment </w:t>
      </w: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cinétique;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définition, expression, unité.</w:t>
      </w:r>
    </w:p>
    <w:p w:rsidR="008F1759" w:rsidRPr="001D79C8" w:rsidRDefault="008F1759" w:rsidP="008F1759">
      <w:pPr>
        <w:pStyle w:val="Title"/>
        <w:rPr>
          <w:rFonts w:asciiTheme="majorBidi" w:hAnsiTheme="majorBidi" w:cstheme="majorBidi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szCs w:val="28"/>
          <w:u w:val="single"/>
          <w:lang w:val="fr-FR"/>
        </w:rPr>
        <w:t>Chapitre 4</w:t>
      </w:r>
    </w:p>
    <w:p w:rsidR="008F1759" w:rsidRPr="001D79C8" w:rsidRDefault="008F1759" w:rsidP="008F1759">
      <w:pPr>
        <w:pStyle w:val="Title"/>
        <w:spacing w:before="0" w:after="120"/>
        <w:rPr>
          <w:rFonts w:asciiTheme="majorBidi" w:hAnsiTheme="majorBidi" w:cstheme="majorBidi"/>
          <w:szCs w:val="28"/>
          <w:lang w:val="fr-FR"/>
        </w:rPr>
      </w:pPr>
      <w:r w:rsidRPr="001D79C8">
        <w:rPr>
          <w:rFonts w:asciiTheme="majorBidi" w:hAnsiTheme="majorBidi" w:cstheme="majorBidi"/>
          <w:szCs w:val="28"/>
          <w:lang w:val="fr-FR"/>
        </w:rPr>
        <w:t xml:space="preserve">Dynamique des solides indéformables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4.1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 xml:space="preserve">Mouvement d’un </w:t>
      </w: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solide;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mouvement linéaire, mouvement du centre de gravité, mouvement autour d’un axe, vitesse et accélération d’un point, d’un solide; vitesse et accélération linéaires, angulaires.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4.2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Moment d’inertie : définition, calcul du moment d’inertie, distribution linéaire, superficielle, volumique, théorème d’</w:t>
      </w:r>
      <w:proofErr w:type="spellStart"/>
      <w:r w:rsidRPr="004F077C">
        <w:rPr>
          <w:rFonts w:asciiTheme="majorBidi" w:hAnsiTheme="majorBidi" w:cstheme="majorBidi"/>
          <w:sz w:val="24"/>
          <w:lang w:val="fr-FR" w:eastAsia="fr-FR"/>
        </w:rPr>
        <w:t>Hygens</w:t>
      </w:r>
      <w:proofErr w:type="spellEnd"/>
      <w:r w:rsidRPr="004F077C">
        <w:rPr>
          <w:rFonts w:asciiTheme="majorBidi" w:hAnsiTheme="majorBidi" w:cstheme="majorBidi"/>
          <w:sz w:val="24"/>
          <w:lang w:val="fr-FR" w:eastAsia="fr-FR"/>
        </w:rPr>
        <w:t>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4.3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Etude du mouvement d’un solide indéformable :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4.3.1 Forces appliquées à un </w:t>
      </w: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solide;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forces intérieure, extérieure, force de contact, frottement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4.3.2 Moment cinétique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4.3.3 Principe fondamental de la dynamique des solides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4.3.4 Appliqué à un solide en mouvement de translation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4.3.5 Appliqué à un solide en mouvement de rotation.</w:t>
      </w:r>
    </w:p>
    <w:p w:rsidR="008F1759" w:rsidRPr="001D79C8" w:rsidRDefault="008F1759" w:rsidP="008F1759">
      <w:pPr>
        <w:pStyle w:val="Title"/>
        <w:rPr>
          <w:rFonts w:asciiTheme="majorBidi" w:hAnsiTheme="majorBidi" w:cstheme="majorBidi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szCs w:val="28"/>
          <w:u w:val="single"/>
          <w:lang w:val="fr-FR"/>
        </w:rPr>
        <w:t>Chapitre 5</w:t>
      </w:r>
    </w:p>
    <w:p w:rsidR="008F1759" w:rsidRPr="001D79C8" w:rsidRDefault="008F1759" w:rsidP="008F1759">
      <w:pPr>
        <w:pStyle w:val="Title"/>
        <w:spacing w:before="0" w:after="120"/>
        <w:rPr>
          <w:rFonts w:asciiTheme="majorBidi" w:hAnsiTheme="majorBidi" w:cstheme="majorBidi"/>
          <w:szCs w:val="28"/>
          <w:lang w:val="fr-FR"/>
        </w:rPr>
      </w:pPr>
      <w:r w:rsidRPr="001D79C8">
        <w:rPr>
          <w:rFonts w:asciiTheme="majorBidi" w:hAnsiTheme="majorBidi" w:cstheme="majorBidi"/>
          <w:szCs w:val="28"/>
          <w:lang w:val="fr-FR"/>
        </w:rPr>
        <w:t xml:space="preserve">Travail, puissance et énergie 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5.1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Travail, déplacement d’un vecteur force, travail d’une force, travail de la somme des forces, unités :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5.1.1 Travail dans un mouvement de translation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5.1.2 Expression du travail dans un mouvement de rotation.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5.2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Puissance :</w:t>
      </w:r>
    </w:p>
    <w:p w:rsidR="008F1759" w:rsidRPr="004F077C" w:rsidRDefault="008F1759" w:rsidP="008F1759">
      <w:pPr>
        <w:ind w:left="993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5.2.1 Puissance instantanée, moyenne, unité</w:t>
      </w:r>
    </w:p>
    <w:p w:rsidR="008F1759" w:rsidRPr="004F077C" w:rsidRDefault="008F1759" w:rsidP="008F1759">
      <w:pPr>
        <w:ind w:left="993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5.2.2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Expression de puissance en mouvement de translation, de rotation (en fonction de : force, vitesse)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5.3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Energie cinétique :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5.3.1 Expression de l’énergie cinétique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5.3.2 Energie cinétique et </w:t>
      </w: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travail;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théorème de l’énergie cinétique</w:t>
      </w:r>
    </w:p>
    <w:p w:rsidR="008F1759" w:rsidRPr="004F077C" w:rsidRDefault="008F1759" w:rsidP="008F1759">
      <w:pPr>
        <w:ind w:left="851" w:hanging="425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5.3.3 Energie cinétique en mouvement de translation, de rotation.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5.4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Energie potentielle :</w:t>
      </w:r>
    </w:p>
    <w:p w:rsidR="008F1759" w:rsidRPr="004F077C" w:rsidRDefault="008F1759" w:rsidP="008F1759">
      <w:pPr>
        <w:pStyle w:val="BodyTextIndent2"/>
        <w:spacing w:after="0" w:line="240" w:lineRule="auto"/>
        <w:ind w:left="994" w:hanging="562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5.4.1</w:t>
      </w:r>
      <w:r w:rsidRPr="004F077C">
        <w:rPr>
          <w:rFonts w:asciiTheme="majorBidi" w:hAnsiTheme="majorBidi" w:cstheme="majorBidi"/>
          <w:sz w:val="24"/>
          <w:lang w:val="fr-FR"/>
        </w:rPr>
        <w:tab/>
        <w:t>Champ et potentiel, force dérivant d’un potentiel, force ne dérivant pas d’un potentiel, forces appliquées et forces conservatives</w:t>
      </w:r>
    </w:p>
    <w:p w:rsidR="008F1759" w:rsidRPr="004F077C" w:rsidRDefault="008F1759" w:rsidP="008F1759">
      <w:pPr>
        <w:pStyle w:val="BodyTextIndent3"/>
        <w:rPr>
          <w:rFonts w:asciiTheme="majorBidi" w:hAnsiTheme="majorBidi" w:cstheme="majorBidi"/>
          <w:sz w:val="24"/>
          <w:szCs w:val="24"/>
        </w:rPr>
      </w:pPr>
      <w:r w:rsidRPr="004F077C">
        <w:rPr>
          <w:rFonts w:asciiTheme="majorBidi" w:hAnsiTheme="majorBidi" w:cstheme="majorBidi"/>
          <w:sz w:val="24"/>
          <w:szCs w:val="24"/>
        </w:rPr>
        <w:t>5.4.1.1</w:t>
      </w:r>
      <w:r w:rsidRPr="004F077C">
        <w:rPr>
          <w:rFonts w:asciiTheme="majorBidi" w:hAnsiTheme="majorBidi" w:cstheme="majorBidi"/>
          <w:sz w:val="24"/>
          <w:szCs w:val="24"/>
        </w:rPr>
        <w:tab/>
        <w:t>Energie potentielle, expression, variation de l’énergie potentielle, énergie potentielle gravitationnelle</w:t>
      </w:r>
    </w:p>
    <w:p w:rsidR="008F1759" w:rsidRPr="004F077C" w:rsidRDefault="008F1759" w:rsidP="008F1759">
      <w:pPr>
        <w:ind w:left="1701" w:hanging="70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5.4.1.2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Applications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5.4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Energie mécanique : expression, conservation, et non conservation de l’énergie mécanique, les forces dissipatives, forces de frottement.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8F1759" w:rsidRPr="001D79C8" w:rsidRDefault="008F1759" w:rsidP="008F1759">
      <w:pPr>
        <w:pStyle w:val="Title"/>
        <w:rPr>
          <w:rFonts w:asciiTheme="majorBidi" w:hAnsiTheme="majorBidi" w:cstheme="majorBidi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szCs w:val="28"/>
          <w:u w:val="single"/>
          <w:lang w:val="fr-FR"/>
        </w:rPr>
        <w:t>Chapitre 6</w:t>
      </w:r>
    </w:p>
    <w:p w:rsidR="008F1759" w:rsidRPr="001D79C8" w:rsidRDefault="008F1759" w:rsidP="008F1759">
      <w:pPr>
        <w:pStyle w:val="Title"/>
        <w:spacing w:before="0" w:after="120"/>
        <w:rPr>
          <w:rFonts w:asciiTheme="majorBidi" w:hAnsiTheme="majorBidi" w:cstheme="majorBidi"/>
          <w:szCs w:val="28"/>
          <w:lang w:val="fr-FR"/>
        </w:rPr>
      </w:pPr>
      <w:r w:rsidRPr="001D79C8">
        <w:rPr>
          <w:rFonts w:asciiTheme="majorBidi" w:hAnsiTheme="majorBidi" w:cstheme="majorBidi"/>
          <w:szCs w:val="28"/>
          <w:lang w:val="fr-FR"/>
        </w:rPr>
        <w:t>Les lois de la conservation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6.1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Conservation d’une quantité de mouvements :</w:t>
      </w:r>
    </w:p>
    <w:p w:rsidR="008F1759" w:rsidRPr="004F077C" w:rsidRDefault="008F1759" w:rsidP="008F1759">
      <w:pPr>
        <w:pStyle w:val="BodyTextIndent2"/>
        <w:spacing w:after="0" w:line="240" w:lineRule="auto"/>
        <w:ind w:left="993" w:hanging="567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6.1.1</w:t>
      </w:r>
      <w:r w:rsidRPr="004F077C">
        <w:rPr>
          <w:rFonts w:asciiTheme="majorBidi" w:hAnsiTheme="majorBidi" w:cstheme="majorBidi"/>
          <w:sz w:val="24"/>
          <w:lang w:val="fr-FR"/>
        </w:rPr>
        <w:tab/>
        <w:t>Impulsion d’une force appliquée à un solide</w:t>
      </w:r>
    </w:p>
    <w:p w:rsidR="008F1759" w:rsidRPr="004F077C" w:rsidRDefault="008F1759" w:rsidP="008F1759">
      <w:pPr>
        <w:pStyle w:val="BodyTextIndent2"/>
        <w:spacing w:after="0" w:line="240" w:lineRule="auto"/>
        <w:ind w:left="993" w:hanging="567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6.1.2</w:t>
      </w:r>
      <w:r w:rsidRPr="004F077C">
        <w:rPr>
          <w:rFonts w:asciiTheme="majorBidi" w:hAnsiTheme="majorBidi" w:cstheme="majorBidi"/>
          <w:sz w:val="24"/>
          <w:lang w:val="fr-FR"/>
        </w:rPr>
        <w:tab/>
        <w:t>Théorème de la quantité de mouvements, applications</w:t>
      </w:r>
    </w:p>
    <w:p w:rsidR="008F1759" w:rsidRPr="004F077C" w:rsidRDefault="008F1759" w:rsidP="008F1759">
      <w:pPr>
        <w:pStyle w:val="BodyTextIndent2"/>
        <w:spacing w:after="0" w:line="240" w:lineRule="auto"/>
        <w:ind w:left="993" w:hanging="567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6.1.3</w:t>
      </w:r>
      <w:r w:rsidRPr="004F077C">
        <w:rPr>
          <w:rFonts w:asciiTheme="majorBidi" w:hAnsiTheme="majorBidi" w:cstheme="majorBidi"/>
          <w:sz w:val="24"/>
          <w:lang w:val="fr-FR"/>
        </w:rPr>
        <w:tab/>
        <w:t xml:space="preserve">Conditions de la conservation d’une quantité de mouvements, mouvements de centre de masse, </w:t>
      </w:r>
      <w:proofErr w:type="gramStart"/>
      <w:r w:rsidRPr="004F077C">
        <w:rPr>
          <w:rFonts w:asciiTheme="majorBidi" w:hAnsiTheme="majorBidi" w:cstheme="majorBidi"/>
          <w:sz w:val="24"/>
          <w:lang w:val="fr-FR"/>
        </w:rPr>
        <w:t>application;</w:t>
      </w:r>
      <w:proofErr w:type="gramEnd"/>
      <w:r w:rsidRPr="004F077C">
        <w:rPr>
          <w:rFonts w:asciiTheme="majorBidi" w:hAnsiTheme="majorBidi" w:cstheme="majorBidi"/>
          <w:sz w:val="24"/>
          <w:lang w:val="fr-FR"/>
        </w:rPr>
        <w:t xml:space="preserve"> propulsion par réaction.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6.2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Conservation du moment cinétique :</w:t>
      </w:r>
    </w:p>
    <w:p w:rsidR="008F1759" w:rsidRPr="004F077C" w:rsidRDefault="008F1759" w:rsidP="008F1759">
      <w:pPr>
        <w:pStyle w:val="BodyTextIndent2"/>
        <w:spacing w:after="0" w:line="240" w:lineRule="auto"/>
        <w:ind w:left="993" w:hanging="567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6.2.1</w:t>
      </w:r>
      <w:r w:rsidRPr="004F077C">
        <w:rPr>
          <w:rFonts w:asciiTheme="majorBidi" w:hAnsiTheme="majorBidi" w:cstheme="majorBidi"/>
          <w:sz w:val="24"/>
          <w:lang w:val="fr-FR"/>
        </w:rPr>
        <w:tab/>
        <w:t>Impulsion appliquée à un solide en mouvement autour d’un axe, impulsion angulaire</w:t>
      </w:r>
    </w:p>
    <w:p w:rsidR="008F1759" w:rsidRPr="004F077C" w:rsidRDefault="008F1759" w:rsidP="008F1759">
      <w:pPr>
        <w:pStyle w:val="BodyTextIndent2"/>
        <w:spacing w:after="0" w:line="240" w:lineRule="auto"/>
        <w:ind w:left="993" w:hanging="567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6.2.2</w:t>
      </w:r>
      <w:r w:rsidRPr="004F077C">
        <w:rPr>
          <w:rFonts w:asciiTheme="majorBidi" w:hAnsiTheme="majorBidi" w:cstheme="majorBidi"/>
          <w:sz w:val="24"/>
          <w:lang w:val="fr-FR"/>
        </w:rPr>
        <w:tab/>
        <w:t>Théorème du moment cinétique, applications</w:t>
      </w:r>
    </w:p>
    <w:p w:rsidR="008F1759" w:rsidRPr="004F077C" w:rsidRDefault="008F1759" w:rsidP="008F1759">
      <w:pPr>
        <w:pStyle w:val="BodyTextIndent2"/>
        <w:spacing w:after="0" w:line="240" w:lineRule="auto"/>
        <w:ind w:left="993" w:hanging="567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6.2.3</w:t>
      </w:r>
      <w:r w:rsidRPr="004F077C">
        <w:rPr>
          <w:rFonts w:asciiTheme="majorBidi" w:hAnsiTheme="majorBidi" w:cstheme="majorBidi"/>
          <w:sz w:val="24"/>
          <w:lang w:val="fr-FR"/>
        </w:rPr>
        <w:tab/>
        <w:t>Conditions de conservation du moment cinétique, application à un système déformable</w:t>
      </w:r>
    </w:p>
    <w:p w:rsidR="008F1759" w:rsidRPr="004F077C" w:rsidRDefault="008F1759" w:rsidP="008F1759">
      <w:pPr>
        <w:pStyle w:val="BodyTextIndent2"/>
        <w:spacing w:after="0" w:line="240" w:lineRule="auto"/>
        <w:ind w:left="993" w:hanging="567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6.2.4</w:t>
      </w:r>
      <w:r w:rsidRPr="004F077C">
        <w:rPr>
          <w:rFonts w:asciiTheme="majorBidi" w:hAnsiTheme="majorBidi" w:cstheme="majorBidi"/>
          <w:sz w:val="24"/>
          <w:lang w:val="fr-FR"/>
        </w:rPr>
        <w:tab/>
        <w:t>Moment cinétique dans le mouvement autour du centre de gravité.</w:t>
      </w:r>
    </w:p>
    <w:p w:rsidR="008F1759" w:rsidRPr="004F077C" w:rsidRDefault="008F1759" w:rsidP="008F175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6.3 Conservation de l’énergie :</w:t>
      </w:r>
    </w:p>
    <w:p w:rsidR="008F1759" w:rsidRPr="004F077C" w:rsidRDefault="008F1759" w:rsidP="008F1759">
      <w:pPr>
        <w:pStyle w:val="BodyTextIndent2"/>
        <w:spacing w:after="0" w:line="240" w:lineRule="auto"/>
        <w:ind w:left="993" w:hanging="567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6.3.1</w:t>
      </w:r>
      <w:r w:rsidRPr="004F077C">
        <w:rPr>
          <w:rFonts w:asciiTheme="majorBidi" w:hAnsiTheme="majorBidi" w:cstheme="majorBidi"/>
          <w:sz w:val="24"/>
          <w:lang w:val="fr-FR"/>
        </w:rPr>
        <w:tab/>
        <w:t>Conditions de conservation de l’énergie cinétique</w:t>
      </w:r>
    </w:p>
    <w:p w:rsidR="008F1759" w:rsidRPr="004F077C" w:rsidRDefault="008F1759" w:rsidP="008F1759">
      <w:pPr>
        <w:pStyle w:val="BodyTextIndent2"/>
        <w:spacing w:after="0" w:line="240" w:lineRule="auto"/>
        <w:ind w:left="993" w:hanging="567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6.3.2</w:t>
      </w:r>
      <w:r w:rsidRPr="004F077C">
        <w:rPr>
          <w:rFonts w:asciiTheme="majorBidi" w:hAnsiTheme="majorBidi" w:cstheme="majorBidi"/>
          <w:sz w:val="24"/>
          <w:lang w:val="fr-FR"/>
        </w:rPr>
        <w:tab/>
        <w:t>Conservation de l’énergie mécanique totale</w:t>
      </w:r>
    </w:p>
    <w:p w:rsidR="008F1759" w:rsidRPr="004F077C" w:rsidRDefault="008F1759" w:rsidP="008F1759">
      <w:pPr>
        <w:pStyle w:val="BodyTextIndent2"/>
        <w:spacing w:after="0" w:line="240" w:lineRule="auto"/>
        <w:ind w:left="993" w:hanging="567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6.3.3</w:t>
      </w:r>
      <w:r w:rsidRPr="004F077C">
        <w:rPr>
          <w:rFonts w:asciiTheme="majorBidi" w:hAnsiTheme="majorBidi" w:cstheme="majorBidi"/>
          <w:sz w:val="24"/>
          <w:lang w:val="fr-FR"/>
        </w:rPr>
        <w:tab/>
        <w:t>Applications à la mécanique du solide, théorème des forces vives, énergie mécanique dans le champ des forces extérieures, conservation de l’énergie mécanique dans un système isolé.</w:t>
      </w:r>
    </w:p>
    <w:p w:rsidR="008F1759" w:rsidRPr="004F077C" w:rsidRDefault="008F1759" w:rsidP="008F1759">
      <w:pPr>
        <w:pStyle w:val="BodyTextIndent2"/>
        <w:spacing w:after="0" w:line="240" w:lineRule="auto"/>
        <w:ind w:left="993" w:hanging="567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6.3.4</w:t>
      </w:r>
      <w:r w:rsidRPr="004F077C">
        <w:rPr>
          <w:rFonts w:asciiTheme="majorBidi" w:hAnsiTheme="majorBidi" w:cstheme="majorBidi"/>
          <w:sz w:val="24"/>
          <w:lang w:val="fr-FR"/>
        </w:rPr>
        <w:tab/>
        <w:t>Applications aux problèmes des chocs et percussions ; choc sans frottement, choc élastique, choc inélastique, pendule balistique.</w:t>
      </w:r>
    </w:p>
    <w:p w:rsidR="008F1759" w:rsidRPr="001D79C8" w:rsidRDefault="008F1759" w:rsidP="008F1759">
      <w:pPr>
        <w:pStyle w:val="Title"/>
        <w:rPr>
          <w:rFonts w:asciiTheme="majorBidi" w:hAnsiTheme="majorBidi" w:cstheme="majorBidi"/>
          <w:szCs w:val="28"/>
          <w:u w:val="single"/>
          <w:lang w:val="fr-FR"/>
        </w:rPr>
      </w:pPr>
      <w:r w:rsidRPr="001D79C8">
        <w:rPr>
          <w:rFonts w:asciiTheme="majorBidi" w:hAnsiTheme="majorBidi" w:cstheme="majorBidi"/>
          <w:szCs w:val="28"/>
          <w:u w:val="single"/>
          <w:lang w:val="fr-FR"/>
        </w:rPr>
        <w:t>Chapitre 7</w:t>
      </w:r>
    </w:p>
    <w:p w:rsidR="008F1759" w:rsidRPr="001D79C8" w:rsidRDefault="008F1759" w:rsidP="008F1759">
      <w:pPr>
        <w:pStyle w:val="Title"/>
        <w:spacing w:before="0" w:after="120"/>
        <w:rPr>
          <w:rFonts w:asciiTheme="majorBidi" w:hAnsiTheme="majorBidi" w:cstheme="majorBidi"/>
          <w:szCs w:val="28"/>
          <w:lang w:val="fr-FR"/>
        </w:rPr>
      </w:pPr>
      <w:r w:rsidRPr="001D79C8">
        <w:rPr>
          <w:rFonts w:asciiTheme="majorBidi" w:hAnsiTheme="majorBidi" w:cstheme="majorBidi"/>
          <w:szCs w:val="28"/>
          <w:lang w:val="fr-FR"/>
        </w:rPr>
        <w:t>Mouvement harmonique et oscillations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 xml:space="preserve">7.1 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Définition, oscillation libre.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7.2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 xml:space="preserve">Oscillateur harmonique à une dimension, oscillateur à force centrale force attractive f = </w:t>
      </w:r>
      <w:proofErr w:type="spellStart"/>
      <w:r w:rsidRPr="004F077C">
        <w:rPr>
          <w:rFonts w:asciiTheme="majorBidi" w:hAnsiTheme="majorBidi" w:cstheme="majorBidi"/>
          <w:sz w:val="24"/>
          <w:lang w:val="fr-FR" w:eastAsia="fr-FR"/>
        </w:rPr>
        <w:t>Kx</w:t>
      </w:r>
      <w:proofErr w:type="spellEnd"/>
      <w:r w:rsidRPr="004F077C">
        <w:rPr>
          <w:rFonts w:asciiTheme="majorBidi" w:hAnsiTheme="majorBidi" w:cstheme="majorBidi"/>
          <w:sz w:val="24"/>
          <w:lang w:val="fr-FR" w:eastAsia="fr-FR"/>
        </w:rPr>
        <w:t>, un mouvement oscillatoire d’une masse attachée à un ressort, équation du mouvement, solution, période, conditions aux limites, amplitude, phase.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7.3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 xml:space="preserve">Cause d’amortissement d’un oscillateur, oscillateur amorti par frottement </w:t>
      </w: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fluide;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équation du mouvement, solution, pulsation, pseudo-période.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7.4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 xml:space="preserve">Régimes d’oscillations amorties ; conditions d’obtention d’un régime </w:t>
      </w:r>
      <w:proofErr w:type="spellStart"/>
      <w:r w:rsidRPr="004F077C">
        <w:rPr>
          <w:rFonts w:asciiTheme="majorBidi" w:hAnsiTheme="majorBidi" w:cstheme="majorBidi"/>
          <w:sz w:val="24"/>
          <w:lang w:val="fr-FR" w:eastAsia="fr-FR"/>
        </w:rPr>
        <w:t>pseudo-périodique</w:t>
      </w:r>
      <w:proofErr w:type="spellEnd"/>
      <w:r w:rsidRPr="004F077C">
        <w:rPr>
          <w:rFonts w:asciiTheme="majorBidi" w:hAnsiTheme="majorBidi" w:cstheme="majorBidi"/>
          <w:sz w:val="24"/>
          <w:lang w:val="fr-FR" w:eastAsia="fr-FR"/>
        </w:rPr>
        <w:t>, d’un régime critique, d’un régime apériodique, amortissement optimal.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7.5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>Aspect énergétique de l’amortissement, facteur de qualité, analogie électrique.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7.6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 xml:space="preserve">Oscillateur harmonique amorti à une dimension soumis à une force extérieure fonction sinusoïdale du temps, équation du mouvement, </w:t>
      </w: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solution;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régime transitoire et régime forcé (permanent)</w:t>
      </w:r>
    </w:p>
    <w:p w:rsidR="008F1759" w:rsidRPr="004F077C" w:rsidRDefault="008F1759" w:rsidP="008F175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4F077C">
        <w:rPr>
          <w:rFonts w:asciiTheme="majorBidi" w:hAnsiTheme="majorBidi" w:cstheme="majorBidi"/>
          <w:sz w:val="24"/>
          <w:lang w:val="fr-FR" w:eastAsia="fr-FR"/>
        </w:rPr>
        <w:t>7.7</w:t>
      </w:r>
      <w:r w:rsidRPr="004F077C">
        <w:rPr>
          <w:rFonts w:asciiTheme="majorBidi" w:hAnsiTheme="majorBidi" w:cstheme="majorBidi"/>
          <w:sz w:val="24"/>
          <w:lang w:val="fr-FR" w:eastAsia="fr-FR"/>
        </w:rPr>
        <w:tab/>
        <w:t xml:space="preserve">Etude de la </w:t>
      </w:r>
      <w:proofErr w:type="gramStart"/>
      <w:r w:rsidRPr="004F077C">
        <w:rPr>
          <w:rFonts w:asciiTheme="majorBidi" w:hAnsiTheme="majorBidi" w:cstheme="majorBidi"/>
          <w:sz w:val="24"/>
          <w:lang w:val="fr-FR" w:eastAsia="fr-FR"/>
        </w:rPr>
        <w:t>résonance;</w:t>
      </w:r>
      <w:proofErr w:type="gramEnd"/>
      <w:r w:rsidRPr="004F077C">
        <w:rPr>
          <w:rFonts w:asciiTheme="majorBidi" w:hAnsiTheme="majorBidi" w:cstheme="majorBidi"/>
          <w:sz w:val="24"/>
          <w:lang w:val="fr-FR" w:eastAsia="fr-FR"/>
        </w:rPr>
        <w:t xml:space="preserve"> bande passante, acuité de résonance, aspect énergétique.</w:t>
      </w:r>
    </w:p>
    <w:p w:rsidR="008F1759" w:rsidRPr="004F077C" w:rsidRDefault="008F1759" w:rsidP="008F1759">
      <w:pPr>
        <w:pStyle w:val="BodyTextIndent2"/>
        <w:spacing w:after="0" w:line="240" w:lineRule="auto"/>
        <w:ind w:left="992" w:hanging="567"/>
        <w:rPr>
          <w:rFonts w:asciiTheme="majorBidi" w:hAnsiTheme="majorBidi" w:cstheme="majorBidi"/>
          <w:sz w:val="24"/>
          <w:lang w:val="fr-FR"/>
        </w:rPr>
      </w:pPr>
      <w:r w:rsidRPr="004F077C">
        <w:rPr>
          <w:rFonts w:asciiTheme="majorBidi" w:hAnsiTheme="majorBidi" w:cstheme="majorBidi"/>
          <w:sz w:val="24"/>
          <w:lang w:val="fr-FR"/>
        </w:rPr>
        <w:t>7.7.1</w:t>
      </w:r>
      <w:r w:rsidRPr="004F077C">
        <w:rPr>
          <w:rFonts w:asciiTheme="majorBidi" w:hAnsiTheme="majorBidi" w:cstheme="majorBidi"/>
          <w:sz w:val="24"/>
          <w:lang w:val="fr-FR"/>
        </w:rPr>
        <w:tab/>
        <w:t>Analogie électromagnétique, impédance d’un oscillateur, expression, relation, vitesse-impédance à la résonance, puissance transférée, puissance moyenne.</w:t>
      </w:r>
    </w:p>
    <w:p w:rsidR="008F1759" w:rsidRPr="004F077C" w:rsidRDefault="008F1759" w:rsidP="008F1759">
      <w:pPr>
        <w:pStyle w:val="BodyTextIndent2"/>
        <w:spacing w:after="0"/>
        <w:ind w:left="0"/>
        <w:rPr>
          <w:rFonts w:asciiTheme="majorBidi" w:hAnsiTheme="majorBidi" w:cstheme="majorBidi"/>
          <w:sz w:val="24"/>
          <w:lang w:val="fr-FR"/>
        </w:rPr>
      </w:pPr>
    </w:p>
    <w:p w:rsidR="003E2118" w:rsidRPr="008F1759" w:rsidRDefault="003E2118" w:rsidP="00E17BB0">
      <w:pPr>
        <w:spacing w:after="200" w:line="276" w:lineRule="auto"/>
        <w:rPr>
          <w:lang w:val="fr-FR"/>
        </w:rPr>
      </w:pPr>
    </w:p>
    <w:sectPr w:rsidR="003E2118" w:rsidRPr="008F1759" w:rsidSect="00E17B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BB0" w:rsidRDefault="00E17B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BB0" w:rsidRDefault="00E17B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BB0" w:rsidRDefault="00E17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BB0" w:rsidRDefault="00E17B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E17BB0" w:rsidRDefault="00E17BB0" w:rsidP="00E17BB0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BB0" w:rsidRDefault="00E17B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1606A9"/>
    <w:rsid w:val="003E2118"/>
    <w:rsid w:val="007F4484"/>
    <w:rsid w:val="008F1759"/>
    <w:rsid w:val="00CE3C2D"/>
    <w:rsid w:val="00E17BB0"/>
    <w:rsid w:val="00E472C5"/>
    <w:rsid w:val="00EB37FF"/>
    <w:rsid w:val="00F00766"/>
    <w:rsid w:val="00F7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C016B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5332</Characters>
  <Application>Microsoft Office Word</Application>
  <DocSecurity>0</DocSecurity>
  <Lines>44</Lines>
  <Paragraphs>12</Paragraphs>
  <ScaleCrop>false</ScaleCrop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9</cp:revision>
  <dcterms:created xsi:type="dcterms:W3CDTF">2019-07-27T04:58:00Z</dcterms:created>
  <dcterms:modified xsi:type="dcterms:W3CDTF">2019-07-27T05:03:00Z</dcterms:modified>
</cp:coreProperties>
</file>